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111111"/>
          <w:spacing w:val="0"/>
          <w:sz w:val="28"/>
          <w:szCs w:val="28"/>
          <w:shd w:val="clear" w:color="auto" w:fill="FFFFFF"/>
        </w:rPr>
        <w:t>HB-Air902Pro</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型</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i w:val="0"/>
          <w:caps w:val="0"/>
          <w:color w:val="111111"/>
          <w:spacing w:val="0"/>
          <w:sz w:val="28"/>
          <w:szCs w:val="28"/>
          <w:shd w:val="clear" w:color="auto" w:fill="FFFFFF"/>
        </w:rPr>
        <w:t>空气波压力治疗仪</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1台</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bookmarkStart w:id="0" w:name="_GoBack"/>
      <w:bookmarkEnd w:id="0"/>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111111"/>
          <w:spacing w:val="0"/>
          <w:sz w:val="28"/>
          <w:szCs w:val="28"/>
          <w:shd w:val="clear" w:color="auto" w:fill="FFFFFF"/>
        </w:rPr>
        <w:t>空气波压力治疗仪</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10000.00元；</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2022年</w:t>
      </w:r>
      <w:r>
        <w:rPr>
          <w:rFonts w:hint="eastAsia" w:ascii="方正仿宋_GBK" w:hAnsi="方正仿宋_GBK" w:eastAsia="方正仿宋_GBK" w:cs="方正仿宋_GBK"/>
          <w:color w:val="auto"/>
          <w:spacing w:val="0"/>
          <w:position w:val="0"/>
          <w:sz w:val="28"/>
          <w:szCs w:val="28"/>
          <w:shd w:val="clear" w:color="050000" w:fill="auto"/>
          <w:lang w:val="en-US" w:eastAsia="zh-CN"/>
        </w:rPr>
        <w:t>11</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11</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2022年11月9日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2022-11-01T07:50:00Z</cp:lastPrinted>
  <dcterms:modified xsi:type="dcterms:W3CDTF">2022-11-09T08:21:24Z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