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28"/>
          <w:szCs w:val="28"/>
          <w:shd w:val="clear" w:color="auto" w:fill="FFFFFF"/>
        </w:rPr>
        <w:t>斯卡西亚（上海）医疗器械有限公司</w:t>
      </w:r>
      <w:r>
        <w:rPr>
          <w:rFonts w:hint="eastAsia" w:ascii="方正仿宋_GBK" w:hAnsi="方正仿宋_GBK" w:eastAsia="方正仿宋_GBK" w:cs="方正仿宋_GBK"/>
          <w:sz w:val="28"/>
          <w:szCs w:val="28"/>
          <w:lang w:eastAsia="zh-CN"/>
        </w:rPr>
        <w:t>生产的</w:t>
      </w:r>
      <w:r>
        <w:rPr>
          <w:rFonts w:hint="eastAsia" w:ascii="方正仿宋_GBK" w:hAnsi="方正仿宋_GBK" w:eastAsia="方正仿宋_GBK" w:cs="方正仿宋_GBK"/>
          <w:i w:val="0"/>
          <w:caps w:val="0"/>
          <w:color w:val="333333"/>
          <w:spacing w:val="0"/>
          <w:sz w:val="28"/>
          <w:szCs w:val="28"/>
          <w:shd w:val="clear" w:color="auto" w:fill="FFFFFF"/>
        </w:rPr>
        <w:t>呼出一氧化氮测定系</w:t>
      </w:r>
      <w:r>
        <w:rPr>
          <w:rFonts w:hint="eastAsia" w:ascii="方正仿宋_GBK" w:hAnsi="方正仿宋_GBK" w:eastAsia="方正仿宋_GBK" w:cs="方正仿宋_GBK"/>
          <w:i w:val="0"/>
          <w:caps w:val="0"/>
          <w:color w:val="333333"/>
          <w:spacing w:val="0"/>
          <w:sz w:val="28"/>
          <w:szCs w:val="28"/>
          <w:shd w:val="clear" w:color="auto" w:fill="FFFFFF"/>
          <w:lang w:eastAsia="zh-CN"/>
        </w:rPr>
        <w:t>统</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r>
        <w:rPr>
          <w:rFonts w:hint="eastAsia" w:ascii="方正仿宋_GBK" w:hAnsi="方正仿宋_GBK" w:eastAsia="方正仿宋_GBK" w:cs="方正仿宋_GBK"/>
          <w:sz w:val="30"/>
          <w:szCs w:val="30"/>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bookmarkStart w:id="0" w:name="_GoBack"/>
      <w:bookmarkEnd w:id="0"/>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呼出一氧化氮测定系</w:t>
      </w:r>
      <w:r>
        <w:rPr>
          <w:rFonts w:hint="eastAsia" w:ascii="方正仿宋_GBK" w:hAnsi="方正仿宋_GBK" w:eastAsia="方正仿宋_GBK" w:cs="方正仿宋_GBK"/>
          <w:i w:val="0"/>
          <w:caps w:val="0"/>
          <w:color w:val="333333"/>
          <w:spacing w:val="0"/>
          <w:sz w:val="28"/>
          <w:szCs w:val="28"/>
          <w:shd w:val="clear" w:color="auto" w:fill="FFFFFF"/>
          <w:lang w:eastAsia="zh-CN"/>
        </w:rPr>
        <w:t>统</w:t>
      </w:r>
      <w:r>
        <w:rPr>
          <w:rFonts w:hint="eastAsia" w:ascii="方正仿宋_GBK" w:hAnsi="方正仿宋_GBK" w:eastAsia="方正仿宋_GBK" w:cs="方正仿宋_GBK"/>
          <w:i w:val="0"/>
          <w:caps w:val="0"/>
          <w:color w:val="333333"/>
          <w:spacing w:val="0"/>
          <w:sz w:val="30"/>
          <w:szCs w:val="30"/>
          <w:shd w:val="clear" w:color="auto" w:fill="FFFFFF"/>
          <w:lang w:eastAsia="zh-CN"/>
        </w:rPr>
        <w:t>最高限价</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5000.00元；</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2024年2月27日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7188417">
    <w:nsid w:val="65290A41"/>
    <w:multiLevelType w:val="singleLevel"/>
    <w:tmpl w:val="65290A41"/>
    <w:lvl w:ilvl="0" w:tentative="1">
      <w:start w:val="3"/>
      <w:numFmt w:val="chineseCounting"/>
      <w:suff w:val="nothing"/>
      <w:lvlText w:val="%1、"/>
      <w:lvlJc w:val="left"/>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2023-11-14T01:32:00Z</cp:lastPrinted>
  <dcterms:modified xsi:type="dcterms:W3CDTF">2024-02-27T09:07:03Z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