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消息推送转发系统项目补遗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潜在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投标供应商：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现对《重庆市巴南区中医院消息推送转发系统项目》【项目编号：BNZYY20240522（2024011）】询比文书做以下补遗，此通知未涉及的，以询比文书为准。</w:t>
      </w:r>
    </w:p>
    <w:p>
      <w:pPr>
        <w:pStyle w:val="3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108085489"/>
      <w:bookmarkStart w:id="1" w:name="_Toc65660349"/>
      <w:bookmarkStart w:id="2" w:name="_Toc11736"/>
      <w:bookmarkStart w:id="3" w:name="_Toc24195"/>
      <w:bookmarkStart w:id="4" w:name="_Toc16123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一、评审标准</w:t>
      </w:r>
      <w:bookmarkEnd w:id="0"/>
      <w:bookmarkEnd w:id="1"/>
      <w:bookmarkEnd w:id="2"/>
      <w:bookmarkEnd w:id="3"/>
      <w:bookmarkEnd w:id="4"/>
      <w:bookmarkStart w:id="5" w:name="_Toc12644"/>
      <w:bookmarkStart w:id="6" w:name="_Toc29113"/>
      <w:bookmarkStart w:id="7" w:name="_Toc108085492"/>
      <w:bookmarkStart w:id="8" w:name="_Toc65660352"/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94"/>
        <w:gridCol w:w="846"/>
        <w:gridCol w:w="1513"/>
        <w:gridCol w:w="315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序号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lang w:bidi="ar"/>
              </w:rPr>
              <w:t>评分因素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及权重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分值</w:t>
            </w:r>
          </w:p>
        </w:tc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" w:firstLineChars="150"/>
              <w:jc w:val="center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评分标准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" w:firstLineChars="150"/>
              <w:jc w:val="center"/>
              <w:textAlignment w:val="auto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投标报价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（30%）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</w:t>
            </w:r>
          </w:p>
        </w:tc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有效的投标报价中的平均价为评标基准价，按照下列公式计算每个投标人的投标价格得分。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投标报价得分＝（评标基准价/投标报价）×价格权重×100。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技术部分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（40%）</w:t>
            </w: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40分</w:t>
            </w:r>
          </w:p>
        </w:tc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起评分20分：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1、一般性技术参数（非★号标注的部分）达不到招标文件要求的，每负偏离一条扣1分，扣完为止；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2、带有★的项为必要参数，任意一项不能满足，则技术部分评分直接为0分。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注：加★号的技术参数须提供技术实现的方案及截图。</w:t>
            </w:r>
          </w:p>
        </w:tc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投标人对本项目的技术方案设计：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（1）方案设计思路合理，总体架构清晰，能提出与医院公众号系统的合理可行的对接方案，保护既有投资，得10分；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（2）技术方案一般，方案描述不够全面准确，得5分；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（3）技术方案不够清晰，方案描述较差，得2分；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（4）其他情况或未提供的，得0分。</w:t>
            </w:r>
          </w:p>
        </w:tc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投标人对本项目的实施方案设计：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（1）项目实施方案具体、实施计划安排周密、工期安排合理、团队架构好、质量保障全面的，得5分；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（2）项目实施方案较具体、实施计划较周密、工期安排较合理、团队架构较好、质量保障较全面的，得2分；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（3）其他情况或未提供的，得0分。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投标人对本项目的培训方案设计：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（1）提供详尽的培训方案，包括合理可行的培训时间安排和课程安排，方案清晰、具有可操作性，得5分；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（2）培训方案较具体，培训计划和课程安排较为合理的，得2分；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（3）其他情况或未提供的，得0分。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商务部分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（30%）</w:t>
            </w: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公司资质（15）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企业信用等级认证（2分）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投标人获得中国软件行业协会颁发的企业信用等级证书，等级结果为AAA得2分，结果为AA得1分，没有不得分。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提供有效的证明材料并加盖供应商公章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信息安全管理认证（2分）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投标人通过“ISO/IEC 27001:2013”信息安全管理体系认证的得2分，没有不得分；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注：通过认证范围与提供医疗健康信息系统软硬件开发、信息系统集成和数据应用服务相关。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提供有效的证明材料并加盖投标人公章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系统安全认证（3分）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投标人产品通过信息系统安全等级保护第三级测评得3分，没有不得分。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提供有效的证明材料并加盖投标人公章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专精特新企业认证（2）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投标人通过专精特新企业认证的得2分，没有不得分。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提供有效的证明材料并加盖投标人公章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知识产权证明（6分）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的开发企业需提供：医院统一消息推送平台、智能宣教系统、统一身份认证、移动门户管理、互联网医疗中台、DevOps研发中台系统等类似功能的计算机软件著作权登记证书，全部满足得6分，每缺1项扣1分，扣完为止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提供有效的证书复印件并加盖投标人公章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项目交付和售后服务能力（15）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本地化服务能力（3分）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在重庆地区技术服务团队在50人（含）以上的得3分，20人（含）-49人（含）的得1分，20人（不含）以下不得分。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提供有效证明材料并加盖投标人公章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交付能力认证（4分）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投标人通过《软件服务商交付能力评估标准》（T/SIA009-2020）的评估，交付能力达到二级及以上得4分，三级得3分，四级得1分，没有不得分。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提供有效的证书复印件并加盖投标人公章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项目案例佐证（8分）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1、投标人近3年有三级医院智慧医院建设项目合作案例。有一个得1分，最多得3分。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2、投标人近3年有医院统一消息平台建设项目合作案例，有一个得1分，最高得5分。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提供合同并加盖投标人公章</w:t>
            </w:r>
          </w:p>
        </w:tc>
      </w:tr>
      <w:bookmarkEnd w:id="5"/>
      <w:bookmarkEnd w:id="6"/>
      <w:bookmarkEnd w:id="7"/>
      <w:bookmarkEnd w:id="8"/>
    </w:tbl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本项目招标文件“附件1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→4.询比文件资质部分内容及格式→（一）营业执照复印件（加盖鲜章）（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经营范围包含医疗设备维修或医疗器械维修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8"/>
        </w:rPr>
        <w:t>，若三证合一请提供情况说明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”调整为“附件1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→4.询比文件资质部分内容及格式→（一）营业执照复印件（加盖鲜章）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28"/>
        </w:rPr>
        <w:t>，若三证合一请提供情况说明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补遗文件属于询比文书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一部分</w:t>
      </w:r>
      <w:bookmarkStart w:id="9" w:name="_GoBack"/>
      <w:bookmarkEnd w:id="9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，请各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潜在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投标人按照补遗文件对投标内容进行相应修改。若投标人未按照要求修改而导致无效标或废标等其他情况出现，招标人不承担任何责任。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4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4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重庆市巴南区中医院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134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2024年5月22日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4B26C"/>
    <w:multiLevelType w:val="multilevel"/>
    <w:tmpl w:val="B074B26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51BCB40"/>
    <w:multiLevelType w:val="singleLevel"/>
    <w:tmpl w:val="551BCB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852F9"/>
    <w:rsid w:val="412A43D1"/>
    <w:rsid w:val="47985F3F"/>
    <w:rsid w:val="5BC45268"/>
    <w:rsid w:val="5FC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3360"/>
      </w:tabs>
      <w:snapToGrid w:val="0"/>
      <w:spacing w:before="50" w:beforeLines="50" w:after="50" w:afterLines="50" w:line="800" w:lineRule="atLeast"/>
      <w:outlineLvl w:val="0"/>
    </w:pPr>
    <w:rPr>
      <w:rFonts w:ascii="方正楷体_GBK" w:hAnsi="方正楷体_GBK" w:eastAsia="黑体" w:cs="方正楷体_GBK"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2024-05-22T02:04:00Z</dcterms:created>
  <dc:creator>Administrator</dc:creator>
  <cp:lastModifiedBy>Administrator</cp:lastModifiedBy>
  <dcterms:modified xsi:type="dcterms:W3CDTF">2024-05-22T02:55:57Z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00986B77F77C437AB2C9707158334D20</vt:lpwstr>
  </property>
</Properties>
</file>