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i w:val="0"/>
          <w:caps w:val="0"/>
          <w:color w:val="333333"/>
          <w:spacing w:val="-3"/>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HH/YPG/115</w:t>
      </w:r>
      <w:r>
        <w:rPr>
          <w:rFonts w:hint="eastAsia" w:ascii="方正仿宋_GBK" w:hAnsi="方正仿宋_GBK" w:eastAsia="方正仿宋_GBK" w:cs="方正仿宋_GBK"/>
          <w:i w:val="0"/>
          <w:caps w:val="0"/>
          <w:color w:val="333333"/>
          <w:spacing w:val="0"/>
          <w:sz w:val="30"/>
          <w:szCs w:val="30"/>
          <w:shd w:val="clear" w:color="auto" w:fill="FFFFFF"/>
          <w:lang w:eastAsia="zh-CN"/>
        </w:rPr>
        <w:t>型药品柜</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4个；</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lang w:eastAsia="zh-CN"/>
        </w:rPr>
        <w:t>药品柜每个</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最高限价6500.00元；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bookmarkStart w:id="0" w:name="_GoBack"/>
      <w:bookmarkEnd w:id="0"/>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10</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2024年7月5日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2024-07-04T04:28:00Z</cp:lastPrinted>
  <dcterms:modified xsi:type="dcterms:W3CDTF">2024-07-05T07:15:12Z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