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i w:val="0"/>
          <w:caps w:val="0"/>
          <w:color w:val="333333"/>
          <w:spacing w:val="-3"/>
          <w:sz w:val="30"/>
          <w:szCs w:val="30"/>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b w:val="0"/>
          <w:bCs w:val="0"/>
          <w:spacing w:val="-3"/>
          <w:sz w:val="30"/>
          <w:szCs w:val="30"/>
        </w:rPr>
        <w:t>北京麦迪克斯科技MECG-300</w:t>
      </w:r>
      <w:r>
        <w:rPr>
          <w:rFonts w:hint="eastAsia" w:ascii="方正仿宋_GBK" w:hAnsi="方正仿宋_GBK" w:eastAsia="方正仿宋_GBK" w:cs="方正仿宋_GBK"/>
          <w:b w:val="0"/>
          <w:bCs w:val="0"/>
          <w:spacing w:val="-3"/>
          <w:sz w:val="30"/>
          <w:szCs w:val="30"/>
          <w:lang w:eastAsia="zh-CN"/>
        </w:rPr>
        <w:t>型床旁心电采集设备（多导联心电分析系统）</w:t>
      </w:r>
      <w:r>
        <w:rPr>
          <w:rFonts w:hint="eastAsia" w:ascii="方正仿宋_GBK" w:hAnsi="方正仿宋_GBK" w:eastAsia="方正仿宋_GBK" w:cs="方正仿宋_GBK"/>
          <w:b w:val="0"/>
          <w:bCs w:val="0"/>
          <w:spacing w:val="-3"/>
          <w:sz w:val="30"/>
          <w:szCs w:val="30"/>
          <w:lang w:val="en-US" w:eastAsia="zh-CN"/>
        </w:rPr>
        <w:t>2台；</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b w:val="0"/>
          <w:bCs w:val="0"/>
          <w:spacing w:val="-3"/>
          <w:sz w:val="30"/>
          <w:szCs w:val="30"/>
          <w:lang w:eastAsia="zh-CN"/>
        </w:rPr>
        <w:t>床旁心电采集设备</w:t>
      </w:r>
      <w:r>
        <w:rPr>
          <w:rFonts w:hint="eastAsia" w:ascii="方正仿宋_GBK" w:hAnsi="方正仿宋_GBK" w:eastAsia="方正仿宋_GBK" w:cs="方正仿宋_GBK"/>
          <w:b w:val="0"/>
          <w:bCs w:val="0"/>
          <w:spacing w:val="-3"/>
          <w:sz w:val="30"/>
          <w:szCs w:val="30"/>
          <w:lang w:val="en-US" w:eastAsia="zh-CN"/>
        </w:rPr>
        <w:t>2台</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最高限价46000.00元；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10</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2024年7月5日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2262756">
    <w:nsid w:val="5394D4E4"/>
    <w:multiLevelType w:val="singleLevel"/>
    <w:tmpl w:val="5394D4E4"/>
    <w:lvl w:ilvl="0" w:tentative="1">
      <w:start w:val="8"/>
      <w:numFmt w:val="chineseCounting"/>
      <w:suff w:val="nothing"/>
      <w:lvlText w:val="%1、"/>
      <w:lvlJc w:val="left"/>
      <w:rPr>
        <w:rFonts w:hint="eastAsia"/>
      </w:rPr>
    </w:lvl>
  </w:abstractNum>
  <w:abstractNum w:abstractNumId="1651710759">
    <w:nsid w:val="62731B27"/>
    <w:multiLevelType w:val="singleLevel"/>
    <w:tmpl w:val="62731B27"/>
    <w:lvl w:ilvl="0" w:tentative="1">
      <w:start w:val="1"/>
      <w:numFmt w:val="chineseCounting"/>
      <w:suff w:val="nothing"/>
      <w:lvlText w:val="%1、"/>
      <w:lvlJc w:val="left"/>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2024-06-18T06:48:00Z</cp:lastPrinted>
  <dcterms:modified xsi:type="dcterms:W3CDTF">2024-07-05T07:24:41Z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