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i w:val="0"/>
          <w:caps w:val="0"/>
          <w:color w:val="333333"/>
          <w:spacing w:val="-3"/>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rPr>
        <w:t>POWER-420X</w:t>
      </w:r>
      <w:r>
        <w:rPr>
          <w:rFonts w:hint="eastAsia" w:ascii="方正仿宋_GBK" w:hAnsi="方正仿宋_GBK" w:eastAsia="方正仿宋_GBK" w:cs="方正仿宋_GBK"/>
          <w:i w:val="0"/>
          <w:caps w:val="0"/>
          <w:color w:val="333333"/>
          <w:spacing w:val="0"/>
          <w:sz w:val="30"/>
          <w:szCs w:val="30"/>
          <w:shd w:val="clear" w:color="auto" w:fill="FFFFFF"/>
          <w:lang w:eastAsia="zh-CN"/>
        </w:rPr>
        <w:t>型高频电刀</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1把;</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i w:val="0"/>
          <w:caps w:val="0"/>
          <w:color w:val="333333"/>
          <w:spacing w:val="0"/>
          <w:sz w:val="30"/>
          <w:szCs w:val="30"/>
          <w:shd w:val="clear" w:color="auto" w:fill="FFFFFF"/>
          <w:lang w:eastAsia="zh-CN"/>
        </w:rPr>
        <w:t>高频电刀</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最高限价13000.00元；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2024年7月16日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2024-07-16T01:13:27Z</cp:lastPrinted>
  <dcterms:modified xsi:type="dcterms:W3CDTF">2024-07-16T01:14:40Z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