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numId w:val="0"/>
        </w:numPr>
        <w:tabs>
          <w:tab w:val="left" w:pos="653"/>
        </w:tabs>
        <w:wordWrap/>
        <w:adjustRightInd/>
        <w:snapToGrid/>
        <w:spacing w:before="0" w:after="0" w:line="20" w:lineRule="atLeast"/>
        <w:ind w:right="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一</w:t>
      </w: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spacing w:val="-3"/>
          <w:sz w:val="30"/>
          <w:szCs w:val="30"/>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1.山东</w:t>
      </w:r>
      <w:r>
        <w:rPr>
          <w:rFonts w:hint="eastAsia" w:ascii="方正仿宋_GBK" w:hAnsi="方正仿宋_GBK" w:eastAsia="方正仿宋_GBK" w:cs="方正仿宋_GBK"/>
          <w:b w:val="0"/>
          <w:bCs w:val="0"/>
          <w:spacing w:val="-3"/>
          <w:sz w:val="30"/>
          <w:szCs w:val="30"/>
          <w:lang w:eastAsia="zh-CN"/>
        </w:rPr>
        <w:t>威高：缝合钩</w:t>
      </w:r>
      <w:r>
        <w:rPr>
          <w:rFonts w:hint="eastAsia" w:ascii="方正仿宋_GBK" w:hAnsi="方正仿宋_GBK" w:eastAsia="方正仿宋_GBK" w:cs="方正仿宋_GBK"/>
          <w:b w:val="0"/>
          <w:bCs w:val="0"/>
          <w:spacing w:val="-3"/>
          <w:sz w:val="30"/>
          <w:szCs w:val="30"/>
          <w:lang w:val="en-US" w:eastAsia="zh-CN"/>
        </w:rPr>
        <w:t>1套；</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spacing w:val="-3"/>
          <w:sz w:val="30"/>
          <w:szCs w:val="30"/>
          <w:lang w:val="en-US" w:eastAsia="zh-CN"/>
        </w:rPr>
      </w:pPr>
      <w:r>
        <w:rPr>
          <w:rFonts w:hint="eastAsia" w:ascii="方正仿宋_GBK" w:hAnsi="方正仿宋_GBK" w:eastAsia="方正仿宋_GBK" w:cs="方正仿宋_GBK"/>
          <w:b w:val="0"/>
          <w:bCs w:val="0"/>
          <w:spacing w:val="-3"/>
          <w:sz w:val="30"/>
          <w:szCs w:val="30"/>
          <w:lang w:val="en-US" w:eastAsia="zh-CN"/>
        </w:rPr>
        <w:t xml:space="preserve">  配置需求：</w:t>
      </w:r>
    </w:p>
    <w:p>
      <w:pPr>
        <w:pStyle w:val="3"/>
        <w:widowControl/>
        <w:numPr>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Chars="0" w:right="0"/>
        <w:jc w:val="both"/>
        <w:rPr>
          <w:rFonts w:hint="eastAsia"/>
          <w:sz w:val="28"/>
          <w:szCs w:val="28"/>
          <w:lang w:val="en-US" w:eastAsia="zh-CN"/>
        </w:rPr>
      </w:pPr>
      <w:r>
        <w:rPr>
          <w:rFonts w:hint="eastAsia"/>
          <w:sz w:val="28"/>
          <w:szCs w:val="28"/>
          <w:lang w:val="en-US" w:eastAsia="zh-CN"/>
        </w:rPr>
        <w:t>(1)GF4X03-05型内窥镜下肩关节骨科手术工具(3.6×145上套索过线器)   1把；</w:t>
      </w:r>
    </w:p>
    <w:p>
      <w:pPr>
        <w:pStyle w:val="3"/>
        <w:widowControl/>
        <w:numPr>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Chars="0" w:right="0"/>
        <w:jc w:val="both"/>
        <w:rPr>
          <w:rFonts w:hint="eastAsia"/>
          <w:sz w:val="28"/>
          <w:szCs w:val="28"/>
          <w:lang w:val="en-US" w:eastAsia="zh-CN"/>
        </w:rPr>
      </w:pPr>
      <w:r>
        <w:rPr>
          <w:rFonts w:hint="eastAsia"/>
          <w:sz w:val="28"/>
          <w:szCs w:val="28"/>
          <w:lang w:val="en-US" w:eastAsia="zh-CN"/>
        </w:rPr>
        <w:t>(2)GF4X03-05型内窥镜下肩关节骨科手术工具(3.6×145左套索过线器)   1把；</w:t>
      </w:r>
    </w:p>
    <w:p>
      <w:pPr>
        <w:pStyle w:val="3"/>
        <w:widowControl/>
        <w:numPr>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Chars="0" w:right="0"/>
        <w:jc w:val="both"/>
        <w:rPr>
          <w:rFonts w:hint="eastAsia"/>
          <w:sz w:val="28"/>
          <w:szCs w:val="28"/>
          <w:lang w:val="en-US" w:eastAsia="zh-CN"/>
        </w:rPr>
      </w:pPr>
      <w:r>
        <w:rPr>
          <w:rFonts w:hint="eastAsia"/>
          <w:sz w:val="28"/>
          <w:szCs w:val="28"/>
          <w:lang w:val="en-US" w:eastAsia="zh-CN"/>
        </w:rPr>
        <w:t>(3)GF4X03-05型内窥镜下肩关节骨科手术工具(3.6×145右套索过线器)   1把；</w:t>
      </w:r>
    </w:p>
    <w:p>
      <w:pPr>
        <w:pStyle w:val="3"/>
        <w:widowControl/>
        <w:numPr>
          <w:numId w:val="0"/>
        </w:numPr>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Chars="0" w:right="0"/>
        <w:jc w:val="both"/>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b w:val="0"/>
          <w:bCs w:val="0"/>
          <w:spacing w:val="-3"/>
          <w:sz w:val="30"/>
          <w:szCs w:val="30"/>
          <w:lang w:eastAsia="zh-CN"/>
        </w:rPr>
        <w:t>缝合钩</w:t>
      </w:r>
      <w:r>
        <w:rPr>
          <w:rFonts w:hint="eastAsia" w:ascii="方正仿宋_GBK" w:hAnsi="方正仿宋_GBK" w:eastAsia="方正仿宋_GBK" w:cs="方正仿宋_GBK"/>
          <w:b w:val="0"/>
          <w:bCs w:val="0"/>
          <w:spacing w:val="-3"/>
          <w:sz w:val="30"/>
          <w:szCs w:val="30"/>
          <w:lang w:val="en-US" w:eastAsia="zh-CN"/>
        </w:rPr>
        <w:t>1套</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最高限价40000.00元；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bookmarkStart w:id="0" w:name="_GoBack"/>
      <w:bookmarkEnd w:id="0"/>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7</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25</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1"/>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2024年7月22日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2262756">
    <w:nsid w:val="5394D4E4"/>
    <w:multiLevelType w:val="singleLevel"/>
    <w:tmpl w:val="5394D4E4"/>
    <w:lvl w:ilvl="0" w:tentative="1">
      <w:start w:val="8"/>
      <w:numFmt w:val="chineseCounting"/>
      <w:suff w:val="nothing"/>
      <w:lvlText w:val="%1、"/>
      <w:lvlJc w:val="left"/>
      <w:rPr>
        <w:rFonts w:hint="eastAsia"/>
      </w:rPr>
    </w:lvl>
  </w:abstractNum>
  <w:num w:numId="1">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2024-06-18T06:48:00Z</cp:lastPrinted>
  <dcterms:modified xsi:type="dcterms:W3CDTF">2024-07-22T23:56:41Z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