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bookmarkStart w:id="0" w:name="_GoBack"/>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1.ACF-D1型动态血压监测仪2台；</w:t>
      </w:r>
    </w:p>
    <w:bookmarkEnd w:id="0"/>
    <w:p>
      <w:pPr>
        <w:numPr>
          <w:ilvl w:val="0"/>
          <w:numId w:val="0"/>
        </w:numPr>
        <w:ind w:firstLine="602" w:firstLineChars="200"/>
        <w:jc w:val="both"/>
        <w:rPr>
          <w:rFonts w:ascii="宋体" w:hAnsi="宋体" w:eastAsia="宋体" w:cs="宋体"/>
          <w:sz w:val="24"/>
          <w:szCs w:val="24"/>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配置需求：</w:t>
      </w:r>
      <w:r>
        <w:rPr>
          <w:rFonts w:ascii="宋体" w:hAnsi="宋体" w:eastAsia="宋体" w:cs="宋体"/>
          <w:b/>
          <w:bCs/>
          <w:sz w:val="30"/>
          <w:szCs w:val="30"/>
        </w:rPr>
        <w:t>供应商需事前了解项目所涉及的三方厂商系统接口事宜,所涉及的接口及费用由中标供应商自行负责</w:t>
      </w:r>
      <w:r>
        <w:rPr>
          <w:rFonts w:hint="eastAsia" w:ascii="宋体" w:hAnsi="宋体" w:cs="宋体"/>
          <w:b/>
          <w:bCs/>
          <w:sz w:val="30"/>
          <w:szCs w:val="30"/>
          <w:lang w:eastAsia="zh-CN"/>
        </w:rPr>
        <w:t>；</w:t>
      </w:r>
      <w:r>
        <w:rPr>
          <w:rFonts w:ascii="宋体" w:hAnsi="宋体" w:eastAsia="宋体" w:cs="宋体"/>
          <w:sz w:val="24"/>
          <w:szCs w:val="24"/>
        </w:rPr>
        <w:t xml:space="preserve"> </w:t>
      </w:r>
    </w:p>
    <w:p>
      <w:pPr>
        <w:numPr>
          <w:ilvl w:val="0"/>
          <w:numId w:val="0"/>
        </w:numPr>
        <w:ind w:firstLine="602"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jc w:val="left"/>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t>1.</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动态血压监测仪每台</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15000.00</w:t>
      </w:r>
      <w:r>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t>元；</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5</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23</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1"/>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2025年9月19日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113D4BB5"/>
    <w:rsid w:val="195E6EFE"/>
    <w:rsid w:val="1CFD4064"/>
    <w:rsid w:val="201A4D87"/>
    <w:rsid w:val="2A2B6B76"/>
    <w:rsid w:val="2AF120EE"/>
    <w:rsid w:val="2E36330F"/>
    <w:rsid w:val="39A17E1D"/>
    <w:rsid w:val="39F70D09"/>
    <w:rsid w:val="3DE94D9E"/>
    <w:rsid w:val="40865F05"/>
    <w:rsid w:val="46557096"/>
    <w:rsid w:val="47822877"/>
    <w:rsid w:val="48874AE8"/>
    <w:rsid w:val="4A3132AE"/>
    <w:rsid w:val="4E7864CC"/>
    <w:rsid w:val="4FFC18AA"/>
    <w:rsid w:val="675E1C32"/>
    <w:rsid w:val="6B7F55E9"/>
    <w:rsid w:val="6E9207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2025-09-19T00:18:48Z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